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Pr="00BE5D4F">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bookmarkStart w:id="9" w:name="_GoBack"/>
      <w:bookmarkEnd w:id="9"/>
      <w:r w:rsidRPr="00BE5D4F">
        <w:rPr>
          <w:rFonts w:ascii="Calibri" w:eastAsia="Times New Roman" w:hAnsi="Calibri" w:cs="Calibri"/>
          <w:color w:val="000000"/>
          <w:lang w:eastAsia="en-GB"/>
        </w:rPr>
        <w:t>).</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10" w:name="_Toc501057953"/>
      <w:r w:rsidRPr="00CC6270">
        <w:rPr>
          <w:sz w:val="30"/>
          <w:szCs w:val="30"/>
          <w:u w:val="single"/>
        </w:rPr>
        <w:lastRenderedPageBreak/>
        <w:t>Functional Specification</w:t>
      </w:r>
      <w:bookmarkEnd w:id="7"/>
      <w:bookmarkEnd w:id="8"/>
      <w:bookmarkEnd w:id="10"/>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595FA5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InteriAR would have all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35B0E9B7"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5F02E7B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Once the user has chosen and finalised a design, they will be connected with decorators in our database over a long range wireless network. Their profiles will be displayed by area to the user who can contact them directly with our in-app messaging system.</w:t>
      </w:r>
    </w:p>
    <w:p w14:paraId="0D8080A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15D4FF8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The messaging system will likely be using pre-existing libraries as a starting point, as it won’t require much unique functionality. Once the decorator accepts the design sent to them and a quote is agreed, an escrow payment system will be shown. This will also include existing API’s to aid in the structure of the payment system.</w:t>
      </w:r>
    </w:p>
    <w:p w14:paraId="275ADA7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637C08EE"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also have an agreement which users will abide to, stating that the money will be released once the job has been completed. Once the completed job has been confirmed, the user will have the option of reviewing the decorator and allowing them to use the captured augmentation on their profile to help them build up their reputation.</w:t>
      </w:r>
    </w:p>
    <w:p w14:paraId="286F7C6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sz w:val="24"/>
          <w:szCs w:val="24"/>
          <w:lang w:eastAsia="en-GB"/>
        </w:rPr>
        <w:t xml:space="preserve"> </w:t>
      </w:r>
    </w:p>
    <w:p w14:paraId="420B69B0" w14:textId="713A4AC3" w:rsidR="002C090E" w:rsidRDefault="00C536BF" w:rsidP="00C536BF">
      <w:pPr>
        <w:rPr>
          <w:rFonts w:ascii="Calibri" w:eastAsia="Times New Roman" w:hAnsi="Calibri" w:cs="Calibri"/>
          <w:color w:val="000000"/>
          <w:lang w:eastAsia="en-GB"/>
        </w:rPr>
      </w:pPr>
      <w:r w:rsidRPr="00C536BF">
        <w:rPr>
          <w:rFonts w:ascii="Calibri" w:eastAsia="Times New Roman" w:hAnsi="Calibri" w:cs="Calibri"/>
          <w:color w:val="000000"/>
          <w:lang w:eastAsia="en-GB"/>
        </w:rPr>
        <w:t>The above procedures can be shown through the functional architecture diagram shown in the appendix</w:t>
      </w:r>
      <w:r w:rsidR="001957CA" w:rsidRPr="001957CA">
        <w:rPr>
          <w:rFonts w:ascii="Calibri" w:eastAsia="Times New Roman" w:hAnsi="Calibri" w:cs="Calibri"/>
          <w:lang w:eastAsia="en-GB"/>
        </w:rPr>
        <w:t xml:space="preserve"> (Appendix B).</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1" w:name="_Toc500844032"/>
      <w:bookmarkStart w:id="12" w:name="_Toc500844289"/>
      <w:bookmarkStart w:id="13" w:name="_Toc501057954"/>
      <w:r w:rsidRPr="00CC6270">
        <w:rPr>
          <w:sz w:val="30"/>
          <w:szCs w:val="30"/>
          <w:u w:val="single"/>
        </w:rPr>
        <w:t>Ethical Audit</w:t>
      </w:r>
      <w:bookmarkEnd w:id="11"/>
      <w:bookmarkEnd w:id="12"/>
      <w:bookmarkEnd w:id="13"/>
    </w:p>
    <w:p w14:paraId="1DE3C468" w14:textId="77777777" w:rsidR="00626CCA" w:rsidRDefault="00626CCA" w:rsidP="00626CCA">
      <w:pPr>
        <w:pStyle w:val="Heading3"/>
        <w:spacing w:before="280" w:after="80"/>
        <w:rPr>
          <w:rFonts w:eastAsia="Times New Roman"/>
          <w:sz w:val="27"/>
          <w:szCs w:val="27"/>
          <w:lang w:eastAsia="en-GB"/>
        </w:rPr>
      </w:pPr>
      <w:bookmarkStart w:id="14" w:name="_Toc501057955"/>
      <w:r>
        <w:rPr>
          <w:rFonts w:ascii="Calibri" w:eastAsia="Times New Roman" w:hAnsi="Calibri"/>
          <w:color w:val="000000"/>
          <w:sz w:val="26"/>
          <w:szCs w:val="26"/>
        </w:rPr>
        <w:t>Privacy and data protection</w:t>
      </w:r>
      <w:bookmarkEnd w:id="14"/>
    </w:p>
    <w:p w14:paraId="45F28B7E" w14:textId="429956FF" w:rsidR="00626CCA" w:rsidRDefault="00626CCA" w:rsidP="00626CCA">
      <w:pPr>
        <w:pStyle w:val="NormalWeb"/>
        <w:spacing w:before="0" w:beforeAutospacing="0" w:after="0" w:afterAutospacing="0"/>
      </w:pPr>
      <w:r>
        <w:rPr>
          <w:rFonts w:ascii="Calibri" w:hAnsi="Calibri"/>
          <w:color w:val="000000"/>
          <w:sz w:val="22"/>
          <w:szCs w:val="22"/>
        </w:rPr>
        <w:t>Customer privacy and data protection is vital to maintaining an ethical project. We will be adhering to the Data Protection Act 1998</w:t>
      </w:r>
      <w:r w:rsidR="006C30B6">
        <w:rPr>
          <w:rFonts w:ascii="Calibri" w:hAnsi="Calibri"/>
          <w:color w:val="000000"/>
          <w:sz w:val="22"/>
          <w:szCs w:val="22"/>
        </w:rPr>
        <w:t xml:space="preserve"> (3)</w:t>
      </w:r>
      <w:r>
        <w:rPr>
          <w:rFonts w:ascii="Calibri" w:hAnsi="Calibri"/>
          <w:color w:val="FF0000"/>
          <w:sz w:val="22"/>
          <w:szCs w:val="22"/>
        </w:rPr>
        <w:t xml:space="preserve"> </w:t>
      </w:r>
      <w:r w:rsidRPr="006C30B6">
        <w:rPr>
          <w:rFonts w:ascii="Calibri" w:hAnsi="Calibri"/>
          <w:color w:val="FF0000"/>
          <w:sz w:val="22"/>
          <w:szCs w:val="22"/>
        </w:rPr>
        <w:t>and any new laws coming into place</w:t>
      </w:r>
      <w:r w:rsidR="006C30B6">
        <w:rPr>
          <w:rFonts w:ascii="Calibri" w:hAnsi="Calibri"/>
          <w:color w:val="000000"/>
          <w:sz w:val="22"/>
          <w:szCs w:val="22"/>
        </w:rPr>
        <w:t xml:space="preserve"> (4)</w:t>
      </w:r>
      <w:r w:rsidR="005A3593">
        <w:rPr>
          <w:rFonts w:ascii="Calibri" w:hAnsi="Calibri"/>
          <w:color w:val="000000"/>
          <w:sz w:val="22"/>
          <w:szCs w:val="22"/>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5" w:name="_Toc501057956"/>
      <w:r>
        <w:rPr>
          <w:rFonts w:ascii="Calibri" w:eastAsia="Times New Roman" w:hAnsi="Calibri"/>
          <w:color w:val="000000"/>
          <w:sz w:val="26"/>
          <w:szCs w:val="26"/>
        </w:rPr>
        <w:t>Intellectual property</w:t>
      </w:r>
      <w:bookmarkEnd w:id="15"/>
    </w:p>
    <w:p w14:paraId="0BBE1170" w14:textId="7CA91950"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and will continue to adhere to all licensing on any software and assets we utilise. For example, our database of objects for an initial version is free to use providing we cite their paper</w:t>
      </w:r>
      <w:r w:rsidR="006C30B6">
        <w:rPr>
          <w:rFonts w:ascii="Calibri" w:eastAsia="Times New Roman" w:hAnsi="Calibri" w:cs="Calibri"/>
          <w:color w:val="000000"/>
          <w:lang w:eastAsia="en-GB"/>
        </w:rPr>
        <w:t xml:space="preserve"> (5)</w:t>
      </w:r>
      <w:r w:rsidRPr="00C536BF">
        <w:rPr>
          <w:rFonts w:ascii="Calibri" w:eastAsia="Times New Roman" w:hAnsi="Calibri" w:cs="Calibri"/>
          <w:color w:val="000000"/>
          <w:lang w:eastAsia="en-GB"/>
        </w:rPr>
        <w:t>.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5B2E18F6" w14:textId="6BD25231" w:rsidR="002C090E" w:rsidRDefault="002C090E" w:rsidP="004D4974">
      <w:pPr>
        <w:pStyle w:val="Heading2"/>
        <w:rPr>
          <w:sz w:val="30"/>
          <w:szCs w:val="30"/>
          <w:u w:val="single"/>
        </w:rPr>
      </w:pPr>
      <w:bookmarkStart w:id="16" w:name="_Toc500844033"/>
      <w:bookmarkStart w:id="17" w:name="_Toc500844290"/>
      <w:bookmarkStart w:id="18" w:name="_Toc501057957"/>
      <w:r w:rsidRPr="00CC6270">
        <w:rPr>
          <w:sz w:val="30"/>
          <w:szCs w:val="30"/>
          <w:u w:val="single"/>
        </w:rPr>
        <w:t>Design</w:t>
      </w:r>
      <w:bookmarkEnd w:id="16"/>
      <w:bookmarkEnd w:id="17"/>
      <w:bookmarkEnd w:id="18"/>
    </w:p>
    <w:p w14:paraId="68FB433F" w14:textId="77777777" w:rsidR="000D4AC1" w:rsidRDefault="000D4AC1" w:rsidP="000D4AC1"/>
    <w:p w14:paraId="41505C5E" w14:textId="0BCBFE85"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We star</w:t>
      </w:r>
      <w:r w:rsidR="006C30B6">
        <w:rPr>
          <w:rFonts w:ascii="Calibri" w:eastAsia="Times New Roman" w:hAnsi="Calibri" w:cs="Calibri"/>
          <w:color w:val="000000"/>
          <w:lang w:eastAsia="en-GB"/>
        </w:rPr>
        <w:t>ted off with a use case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006C30B6">
        <w:rPr>
          <w:rFonts w:ascii="Calibri" w:eastAsia="Times New Roman" w:hAnsi="Calibri" w:cs="Calibri"/>
          <w:color w:val="000000"/>
          <w:lang w:eastAsia="en-GB"/>
        </w:rPr>
        <w:t xml:space="preserve"> sequence diagram (Appendix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 xml:space="preserve">2)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6C30B6">
        <w:rPr>
          <w:rFonts w:ascii="Calibri" w:eastAsia="Times New Roman" w:hAnsi="Calibri" w:cs="Calibri"/>
          <w:color w:val="000000"/>
          <w:lang w:eastAsia="en-GB"/>
        </w:rPr>
        <w:t>(Appendix C</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9" w:name="_Toc500844034"/>
      <w:bookmarkStart w:id="20" w:name="_Toc500844291"/>
      <w:bookmarkStart w:id="21" w:name="_Toc501057958"/>
      <w:r w:rsidRPr="00CC6270">
        <w:rPr>
          <w:sz w:val="30"/>
          <w:szCs w:val="30"/>
          <w:u w:val="single"/>
        </w:rPr>
        <w:t>Prototyping</w:t>
      </w:r>
      <w:bookmarkEnd w:id="19"/>
      <w:bookmarkEnd w:id="20"/>
      <w:bookmarkEnd w:id="21"/>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2" w:name="_Toc501057959"/>
      <w:r>
        <w:rPr>
          <w:lang w:eastAsia="en-GB"/>
        </w:rPr>
        <w:t xml:space="preserve">6.1 </w:t>
      </w:r>
      <w:r w:rsidR="00CC6270">
        <w:rPr>
          <w:lang w:eastAsia="en-GB"/>
        </w:rPr>
        <w:t>Conceptual prototyping</w:t>
      </w:r>
      <w:bookmarkEnd w:id="22"/>
    </w:p>
    <w:p w14:paraId="7C5B22F3" w14:textId="77777777" w:rsidR="00C26B7E" w:rsidRDefault="00C26B7E" w:rsidP="00C26B7E">
      <w:pPr>
        <w:rPr>
          <w:lang w:eastAsia="en-GB"/>
        </w:rPr>
      </w:pPr>
    </w:p>
    <w:p w14:paraId="3B956C03" w14:textId="2E3D212D"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ry layout/wireframe of our app</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1-</w:t>
      </w:r>
      <w:r w:rsidR="0082031B">
        <w:rPr>
          <w:rFonts w:ascii="Calibri" w:eastAsia="Times New Roman" w:hAnsi="Calibri" w:cs="Calibri"/>
          <w:color w:val="000000"/>
          <w:lang w:eastAsia="en-GB"/>
        </w:rPr>
        <w:t>D.</w:t>
      </w:r>
      <w:r w:rsidR="006C30B6">
        <w:rPr>
          <w:rFonts w:ascii="Calibri" w:eastAsia="Times New Roman" w:hAnsi="Calibri" w:cs="Calibri"/>
          <w:color w:val="000000"/>
          <w:lang w:eastAsia="en-GB"/>
        </w:rPr>
        <w:t>2)</w:t>
      </w:r>
      <w:r w:rsidR="00F80E53">
        <w:rPr>
          <w:rFonts w:ascii="Calibri" w:eastAsia="Times New Roman" w:hAnsi="Calibri" w:cs="Calibri"/>
          <w:color w:val="000000"/>
          <w:lang w:eastAsia="en-GB"/>
        </w:rPr>
        <w:t xml:space="preserve">. </w:t>
      </w:r>
      <w:r w:rsidRPr="00C26B7E">
        <w:rPr>
          <w:rFonts w:ascii="Calibri" w:eastAsia="Times New Roman" w:hAnsi="Calibri" w:cs="Calibri"/>
          <w:color w:val="000000"/>
          <w:lang w:eastAsia="en-GB"/>
        </w:rPr>
        <w:t xml:space="preserve">We created a low fidelity prototype using </w:t>
      </w:r>
      <w:proofErr w:type="spellStart"/>
      <w:r w:rsidRPr="00C26B7E">
        <w:rPr>
          <w:rFonts w:ascii="Calibri" w:eastAsia="Times New Roman" w:hAnsi="Calibri" w:cs="Calibri"/>
          <w:color w:val="000000"/>
          <w:lang w:eastAsia="en-GB"/>
        </w:rPr>
        <w:t>MarvelApp</w:t>
      </w:r>
      <w:proofErr w:type="spellEnd"/>
      <w:r w:rsidR="006C30B6">
        <w:rPr>
          <w:rFonts w:ascii="Calibri" w:eastAsia="Times New Roman" w:hAnsi="Calibri" w:cs="Calibri"/>
          <w:color w:val="000000"/>
          <w:lang w:eastAsia="en-GB"/>
        </w:rPr>
        <w:t xml:space="preserve"> (6)</w:t>
      </w:r>
      <w:r w:rsidR="006C30B6" w:rsidRPr="00C26B7E">
        <w:rPr>
          <w:rFonts w:ascii="Calibri" w:eastAsia="Times New Roman" w:hAnsi="Calibri" w:cs="Calibri"/>
          <w:color w:val="000000"/>
          <w:lang w:eastAsia="en-GB"/>
        </w:rPr>
        <w:t xml:space="preserve"> </w:t>
      </w:r>
      <w:r w:rsidR="006C30B6">
        <w:rPr>
          <w:rFonts w:ascii="Calibri" w:eastAsia="Times New Roman" w:hAnsi="Calibri" w:cs="Calibri"/>
          <w:color w:val="FF0000"/>
          <w:lang w:eastAsia="en-GB"/>
        </w:rPr>
        <w:t>which</w:t>
      </w:r>
      <w:r w:rsidRPr="00C26B7E">
        <w:rPr>
          <w:rFonts w:ascii="Calibri" w:eastAsia="Times New Roman" w:hAnsi="Calibri" w:cs="Calibri"/>
          <w:color w:val="000000"/>
          <w:lang w:eastAsia="en-GB"/>
        </w:rPr>
        <w:t xml:space="preserve">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7A2E9422"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6C30B6">
        <w:rPr>
          <w:rFonts w:ascii="Calibri" w:eastAsia="Times New Roman" w:hAnsi="Calibri" w:cs="Calibri"/>
          <w:color w:val="000000"/>
          <w:lang w:eastAsia="en-GB"/>
        </w:rPr>
        <w:t xml:space="preserve"> (Appendix D</w:t>
      </w:r>
      <w:r w:rsidR="0082031B">
        <w:rPr>
          <w:rFonts w:ascii="Calibri" w:eastAsia="Times New Roman" w:hAnsi="Calibri" w:cs="Calibri"/>
          <w:color w:val="000000"/>
          <w:lang w:eastAsia="en-GB"/>
        </w:rPr>
        <w:t>.</w:t>
      </w:r>
      <w:r w:rsidR="006C30B6">
        <w:rPr>
          <w:rFonts w:ascii="Calibri" w:eastAsia="Times New Roman" w:hAnsi="Calibri" w:cs="Calibri"/>
          <w:color w:val="000000"/>
          <w:lang w:eastAsia="en-GB"/>
        </w:rPr>
        <w:t>3)</w:t>
      </w:r>
      <w:r w:rsidR="009F0A86">
        <w:rPr>
          <w:rFonts w:ascii="Calibri" w:eastAsia="Times New Roman" w:hAnsi="Calibri" w:cs="Calibri"/>
          <w:color w:val="000000"/>
          <w:lang w:eastAsia="en-GB"/>
        </w:rPr>
        <w:t>.</w:t>
      </w:r>
      <w:r w:rsidR="009F0A86">
        <w:rPr>
          <w:rFonts w:ascii="Calibri" w:eastAsia="Times New Roman" w:hAnsi="Calibri" w:cs="Calibri"/>
          <w:color w:val="FF0000"/>
          <w:vertAlign w:val="superscript"/>
          <w:lang w:eastAsia="en-GB"/>
        </w:rPr>
        <w:t xml:space="preserve">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3" w:name="_Toc501057960"/>
      <w:r>
        <w:rPr>
          <w:lang w:eastAsia="en-GB"/>
        </w:rPr>
        <w:t xml:space="preserve">6.1 </w:t>
      </w:r>
      <w:r w:rsidR="0034422A" w:rsidRPr="0034422A">
        <w:rPr>
          <w:lang w:eastAsia="en-GB"/>
        </w:rPr>
        <w:t>Functional prototyping</w:t>
      </w:r>
      <w:bookmarkEnd w:id="23"/>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4" w:name="_Toc501057961"/>
      <w:r w:rsidRPr="008066E7">
        <w:rPr>
          <w:i w:val="0"/>
          <w:lang w:eastAsia="en-GB"/>
        </w:rPr>
        <w:t>Wall colouring</w:t>
      </w:r>
      <w:bookmarkEnd w:id="24"/>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35B2B72C" w:rsidR="002C090E" w:rsidRPr="004474BF" w:rsidRDefault="002C090E" w:rsidP="002C090E">
      <w:pPr>
        <w:rPr>
          <w:rFonts w:cstheme="minorHAnsi"/>
          <w:sz w:val="24"/>
          <w:szCs w:val="24"/>
          <w:lang w:eastAsia="en-GB"/>
        </w:rPr>
      </w:pPr>
      <w:r w:rsidRPr="004474BF">
        <w:rPr>
          <w:rFonts w:cstheme="minorHAnsi"/>
          <w:color w:val="000000"/>
          <w:lang w:eastAsia="en-GB"/>
        </w:rPr>
        <w:t>This proto</w:t>
      </w:r>
      <w:r w:rsidR="0082031B">
        <w:rPr>
          <w:rFonts w:cstheme="minorHAnsi"/>
          <w:color w:val="000000"/>
          <w:lang w:eastAsia="en-GB"/>
        </w:rPr>
        <w:t>type was created on Processing 3 (7)</w:t>
      </w:r>
      <w:r w:rsidRPr="00820825">
        <w:rPr>
          <w:rFonts w:cstheme="minorHAnsi"/>
          <w:color w:val="FF0000"/>
          <w:lang w:eastAsia="en-GB"/>
        </w:rPr>
        <w:t xml:space="preserve"> </w:t>
      </w:r>
      <w:r w:rsidRPr="004474BF">
        <w:rPr>
          <w:rFonts w:cstheme="minorHAnsi"/>
          <w:color w:val="000000"/>
          <w:lang w:eastAsia="en-GB"/>
        </w:rPr>
        <w:t>usin</w:t>
      </w:r>
      <w:r w:rsidR="0082031B">
        <w:rPr>
          <w:rFonts w:cstheme="minorHAnsi"/>
          <w:color w:val="000000"/>
          <w:lang w:eastAsia="en-GB"/>
        </w:rPr>
        <w:t xml:space="preserve">g the </w:t>
      </w:r>
      <w:proofErr w:type="spellStart"/>
      <w:r w:rsidR="0082031B">
        <w:rPr>
          <w:rFonts w:cstheme="minorHAnsi"/>
          <w:color w:val="000000"/>
          <w:lang w:eastAsia="en-GB"/>
        </w:rPr>
        <w:t>Ketai</w:t>
      </w:r>
      <w:proofErr w:type="spellEnd"/>
      <w:r w:rsidR="0082031B">
        <w:rPr>
          <w:rFonts w:cstheme="minorHAnsi"/>
          <w:color w:val="000000"/>
          <w:lang w:eastAsia="en-GB"/>
        </w:rPr>
        <w:t xml:space="preserve"> for Android library (8)</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5" w:name="_Toc501057962"/>
      <w:r w:rsidRPr="008066E7">
        <w:rPr>
          <w:i w:val="0"/>
          <w:lang w:eastAsia="en-GB"/>
        </w:rPr>
        <w:lastRenderedPageBreak/>
        <w:t>Augmented Reality Objects</w:t>
      </w:r>
      <w:bookmarkEnd w:id="25"/>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F6BA75"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0082031B">
        <w:rPr>
          <w:rFonts w:cstheme="minorHAnsi"/>
          <w:color w:val="000000"/>
          <w:lang w:eastAsia="en-GB"/>
        </w:rPr>
        <w:t xml:space="preserve"> (9)</w:t>
      </w:r>
      <w:r w:rsidRPr="004474BF">
        <w:rPr>
          <w:rFonts w:cstheme="minorHAnsi"/>
          <w:color w:val="FF0000"/>
          <w:lang w:eastAsia="en-GB"/>
        </w:rPr>
        <w:t xml:space="preserve"> </w:t>
      </w:r>
      <w:r w:rsidR="00F80E53">
        <w:rPr>
          <w:rFonts w:cstheme="minorHAnsi"/>
          <w:color w:val="000000"/>
          <w:lang w:eastAsia="en-GB"/>
        </w:rPr>
        <w:t>using the Vuforia AR library</w:t>
      </w:r>
      <w:r w:rsidR="0082031B">
        <w:rPr>
          <w:rFonts w:cstheme="minorHAnsi"/>
          <w:color w:val="000000"/>
          <w:lang w:eastAsia="en-GB"/>
        </w:rPr>
        <w:t xml:space="preserve"> (10)</w:t>
      </w:r>
      <w:r w:rsidRPr="004474BF">
        <w:rPr>
          <w:rFonts w:cstheme="minorHAnsi"/>
          <w:color w:val="000000"/>
          <w:lang w:eastAsia="en-GB"/>
        </w:rPr>
        <w:t>.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6" w:name="_Toc501057963"/>
      <w:r w:rsidRPr="008066E7">
        <w:rPr>
          <w:i w:val="0"/>
          <w:lang w:eastAsia="en-GB"/>
        </w:rPr>
        <w:t>Database</w:t>
      </w:r>
      <w:bookmarkEnd w:id="26"/>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59DF4B1F" w:rsidR="002C090E" w:rsidRPr="00F80E53" w:rsidRDefault="002C090E" w:rsidP="002C090E">
      <w:pPr>
        <w:rPr>
          <w:rFonts w:cstheme="minorHAnsi"/>
          <w:color w:val="FF0000"/>
          <w:sz w:val="24"/>
          <w:szCs w:val="24"/>
          <w:lang w:eastAsia="en-GB"/>
        </w:rPr>
      </w:pPr>
      <w:r w:rsidRPr="004474BF">
        <w:rPr>
          <w:rFonts w:cstheme="minorHAnsi"/>
          <w:color w:val="000000"/>
          <w:lang w:eastAsia="en-GB"/>
        </w:rPr>
        <w:t>To assess t</w:t>
      </w:r>
      <w:r w:rsidR="0082031B">
        <w:rPr>
          <w:rFonts w:cstheme="minorHAnsi"/>
          <w:color w:val="000000"/>
          <w:lang w:eastAsia="en-GB"/>
        </w:rPr>
        <w:t>he feasibility of using MongoDB (11)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82031B">
        <w:rPr>
          <w:rFonts w:cstheme="minorHAnsi"/>
          <w:color w:val="000000"/>
          <w:lang w:eastAsia="en-GB"/>
        </w:rPr>
        <w:t xml:space="preserve"> (12).</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82031B">
        <w:rPr>
          <w:rFonts w:cstheme="minorHAnsi"/>
          <w:color w:val="000000"/>
          <w:lang w:eastAsia="en-GB"/>
        </w:rPr>
        <w:t xml:space="preserve"> (13)</w:t>
      </w:r>
      <w:r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7" w:name="_Toc500844035"/>
      <w:bookmarkStart w:id="28" w:name="_Toc500844292"/>
      <w:bookmarkStart w:id="29" w:name="_Toc501057964"/>
      <w:r w:rsidRPr="00CC6270">
        <w:rPr>
          <w:sz w:val="30"/>
          <w:szCs w:val="30"/>
          <w:u w:val="single"/>
        </w:rPr>
        <w:lastRenderedPageBreak/>
        <w:t>Technical Architecture</w:t>
      </w:r>
      <w:bookmarkEnd w:id="27"/>
      <w:bookmarkEnd w:id="28"/>
      <w:bookmarkEnd w:id="29"/>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30" w:name="_Toc501057965"/>
      <w:r>
        <w:rPr>
          <w:lang w:eastAsia="en-GB"/>
        </w:rPr>
        <w:t xml:space="preserve">7.1 </w:t>
      </w:r>
      <w:r w:rsidR="002C090E" w:rsidRPr="004474BF">
        <w:rPr>
          <w:lang w:eastAsia="en-GB"/>
        </w:rPr>
        <w:t>Database</w:t>
      </w:r>
      <w:bookmarkEnd w:id="30"/>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337B0BC6"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As we won’t be using our own database to be validating and logging users in, we have come to the conclusion of using Facebook and Google’s OAuth API</w:t>
      </w:r>
      <w:r w:rsidR="0082031B">
        <w:rPr>
          <w:rFonts w:ascii="Calibri" w:eastAsia="Times New Roman" w:hAnsi="Calibri" w:cs="Calibri"/>
          <w:color w:val="000000"/>
          <w:lang w:eastAsia="en-GB"/>
        </w:rPr>
        <w:t xml:space="preserve"> (14-16)</w:t>
      </w:r>
      <w:r w:rsidRPr="00820825">
        <w:rPr>
          <w:rFonts w:ascii="Calibri" w:eastAsia="Times New Roman" w:hAnsi="Calibri" w:cs="Calibri"/>
          <w:color w:val="000000"/>
          <w:lang w:eastAsia="en-GB"/>
        </w:rPr>
        <w:t xml:space="preserve"> 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3D0A79CC"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82031B">
        <w:rPr>
          <w:rFonts w:ascii="Calibri" w:eastAsia="Times New Roman" w:hAnsi="Calibri" w:cs="Calibri"/>
          <w:color w:val="000000"/>
          <w:lang w:eastAsia="en-GB"/>
        </w:rPr>
        <w:t xml:space="preserve"> (17)</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55695B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82031B">
        <w:rPr>
          <w:rFonts w:cstheme="minorHAnsi"/>
          <w:color w:val="000000"/>
          <w:lang w:eastAsia="en-GB"/>
        </w:rPr>
        <w:t xml:space="preserve"> (18)</w:t>
      </w:r>
      <w:r w:rsidRPr="004474BF">
        <w:rPr>
          <w:rFonts w:cstheme="minorHAnsi"/>
          <w:color w:val="000000"/>
          <w:lang w:eastAsia="en-GB"/>
        </w:rPr>
        <w:t>.</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6FE94752"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82031B" w:rsidRPr="0082031B">
        <w:rPr>
          <w:rFonts w:cstheme="minorHAnsi"/>
          <w:lang w:eastAsia="en-GB"/>
        </w:rPr>
        <w:t>(Appendix</w:t>
      </w:r>
      <w:r w:rsidR="0082031B">
        <w:rPr>
          <w:rFonts w:cstheme="minorHAnsi"/>
          <w:lang w:eastAsia="en-GB"/>
        </w:rPr>
        <w:t xml:space="preserve"> </w:t>
      </w:r>
      <w:r w:rsidR="00EB31AF">
        <w:rPr>
          <w:rFonts w:cstheme="minorHAnsi"/>
          <w:lang w:eastAsia="en-GB"/>
        </w:rPr>
        <w:t>F.1</w:t>
      </w:r>
      <w:r w:rsidR="00EB31AF" w:rsidRPr="0082031B">
        <w:rPr>
          <w:rFonts w:cstheme="minorHAnsi"/>
          <w:lang w:eastAsia="en-GB"/>
        </w:rPr>
        <w:t>)</w:t>
      </w:r>
      <w:r w:rsidR="0082031B">
        <w:rPr>
          <w:rFonts w:cstheme="minorHAnsi"/>
          <w:lang w:eastAsia="en-GB"/>
        </w:rPr>
        <w:t xml:space="preserve"> </w:t>
      </w:r>
      <w:r w:rsidRPr="004474BF">
        <w:rPr>
          <w:rFonts w:cstheme="minorHAnsi"/>
          <w:color w:val="000000"/>
          <w:lang w:eastAsia="en-GB"/>
        </w:rPr>
        <w:t>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321F8EDA"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0082031B">
        <w:rPr>
          <w:rFonts w:cstheme="minorHAnsi"/>
          <w:color w:val="000000"/>
          <w:lang w:eastAsia="en-GB"/>
        </w:rPr>
        <w:t xml:space="preserve"> (19,</w:t>
      </w:r>
      <w:r w:rsidR="00F13579">
        <w:rPr>
          <w:rFonts w:cstheme="minorHAnsi"/>
          <w:color w:val="000000"/>
          <w:lang w:eastAsia="en-GB"/>
        </w:rPr>
        <w:t xml:space="preserve"> </w:t>
      </w:r>
      <w:r w:rsidR="0082031B">
        <w:rPr>
          <w:rFonts w:cstheme="minorHAnsi"/>
          <w:color w:val="000000"/>
          <w:lang w:eastAsia="en-GB"/>
        </w:rPr>
        <w:t>20)</w:t>
      </w:r>
      <w:r w:rsidRPr="004474BF">
        <w:rPr>
          <w:rFonts w:cstheme="minorHAnsi"/>
          <w:color w:val="000000"/>
          <w:lang w:eastAsia="en-GB"/>
        </w:rPr>
        <w:t>.</w:t>
      </w:r>
      <w:r w:rsidR="00B56353">
        <w:rPr>
          <w:rFonts w:cstheme="minorHAnsi"/>
          <w:color w:val="000000"/>
          <w:lang w:eastAsia="en-GB"/>
        </w:rPr>
        <w:t xml:space="preserve"> </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8F29612"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82031B">
        <w:rPr>
          <w:rFonts w:cstheme="minorHAnsi"/>
          <w:color w:val="000000"/>
          <w:lang w:eastAsia="en-GB"/>
        </w:rPr>
        <w:t xml:space="preserve">l Unity library called </w:t>
      </w:r>
      <w:proofErr w:type="spellStart"/>
      <w:r w:rsidR="0082031B">
        <w:rPr>
          <w:rFonts w:cstheme="minorHAnsi"/>
          <w:color w:val="000000"/>
          <w:lang w:eastAsia="en-GB"/>
        </w:rPr>
        <w:t>Wikitude</w:t>
      </w:r>
      <w:proofErr w:type="spellEnd"/>
      <w:r w:rsidR="0082031B">
        <w:rPr>
          <w:rFonts w:cstheme="minorHAnsi"/>
          <w:color w:val="000000"/>
          <w:lang w:eastAsia="en-GB"/>
        </w:rPr>
        <w:t xml:space="preserve"> (21)</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0082031B">
        <w:rPr>
          <w:rFonts w:cstheme="minorHAnsi"/>
          <w:color w:val="000000"/>
          <w:lang w:eastAsia="en-GB"/>
        </w:rPr>
        <w:t xml:space="preserve"> (Appendix F.2)</w:t>
      </w:r>
      <w:r w:rsidRPr="004474BF">
        <w:rPr>
          <w:rFonts w:cstheme="minorHAnsi"/>
          <w:color w:val="000000"/>
          <w:lang w:eastAsia="en-GB"/>
        </w:rPr>
        <w:t>.</w:t>
      </w:r>
      <w:r w:rsidR="00E613A6">
        <w:rPr>
          <w:rFonts w:cstheme="minorHAnsi"/>
          <w:color w:val="00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82031B">
        <w:rPr>
          <w:rFonts w:cstheme="minorHAnsi"/>
          <w:color w:val="000000"/>
          <w:lang w:eastAsia="en-GB"/>
        </w:rPr>
        <w:t xml:space="preserve"> (22</w:t>
      </w:r>
      <w:r w:rsidR="000A6731">
        <w:rPr>
          <w:rFonts w:cstheme="minorHAnsi"/>
          <w:color w:val="000000"/>
          <w:lang w:eastAsia="en-GB"/>
        </w:rPr>
        <w:t>, 23</w:t>
      </w:r>
      <w:r w:rsidR="0082031B">
        <w:rPr>
          <w:rFonts w:cstheme="minorHAnsi"/>
          <w:color w:val="000000"/>
          <w:lang w:eastAsia="en-GB"/>
        </w:rPr>
        <w:t>)</w:t>
      </w:r>
      <w:r w:rsidRPr="004474BF">
        <w:rPr>
          <w:rFonts w:cstheme="minorHAnsi"/>
          <w:color w:val="000000"/>
          <w:lang w:eastAsia="en-GB"/>
        </w:rPr>
        <w:t>.</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5B3E691D"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sidR="00EB31AF">
        <w:rPr>
          <w:rFonts w:ascii="Calibri" w:hAnsi="Calibri" w:cs="Calibri"/>
          <w:color w:val="FF0000"/>
        </w:rPr>
        <w:t xml:space="preserve"> (24</w:t>
      </w:r>
      <w:proofErr w:type="gramStart"/>
      <w:r w:rsidR="00EB31AF">
        <w:rPr>
          <w:rFonts w:ascii="Calibri" w:hAnsi="Calibri" w:cs="Calibri"/>
          <w:color w:val="FF0000"/>
        </w:rPr>
        <w:t>)</w:t>
      </w:r>
      <w:r>
        <w:rPr>
          <w:rFonts w:ascii="Calibri" w:hAnsi="Calibri" w:cs="Calibri"/>
          <w:color w:val="FF0000"/>
        </w:rPr>
        <w:t xml:space="preserve"> </w:t>
      </w:r>
      <w:r w:rsidR="00E818FF">
        <w:rPr>
          <w:rFonts w:ascii="Calibri" w:hAnsi="Calibri" w:cs="Calibri"/>
          <w:color w:val="FF0000"/>
        </w:rPr>
        <w:t>;</w:t>
      </w:r>
      <w:proofErr w:type="gramEnd"/>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16B51F83"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EB31AF">
        <w:rPr>
          <w:rFonts w:ascii="Calibri" w:hAnsi="Calibri" w:cs="Calibri"/>
          <w:color w:val="000000"/>
        </w:rPr>
        <w:t xml:space="preserve"> (25)</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w:t>
      </w:r>
      <w:r w:rsidR="00EB31AF">
        <w:rPr>
          <w:rFonts w:ascii="Calibri" w:hAnsi="Calibri" w:cs="Calibri"/>
          <w:color w:val="FF0000"/>
        </w:rPr>
        <w:t xml:space="preserve">mplement escrow called Balanced (26) </w:t>
      </w:r>
      <w:r>
        <w:rPr>
          <w:rFonts w:ascii="Calibri" w:hAnsi="Calibri" w:cs="Calibri"/>
          <w:color w:val="FF0000"/>
        </w:rPr>
        <w:t>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520B22"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520B22"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520B22"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520B22"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520B22"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520B22">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520B22"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520B22"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520B22"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520B22"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520B22"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520B22"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520B22"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520B22"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520B22"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520B22"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0685FF" w14:textId="77777777" w:rsidR="00520B22" w:rsidRDefault="00520B22" w:rsidP="009A1F12">
      <w:r>
        <w:separator/>
      </w:r>
    </w:p>
  </w:endnote>
  <w:endnote w:type="continuationSeparator" w:id="0">
    <w:p w14:paraId="18B5CF11" w14:textId="77777777" w:rsidR="00520B22" w:rsidRDefault="00520B22"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964A02" w14:textId="77777777" w:rsidR="00520B22" w:rsidRDefault="00520B22" w:rsidP="009A1F12">
      <w:r>
        <w:separator/>
      </w:r>
    </w:p>
  </w:footnote>
  <w:footnote w:type="continuationSeparator" w:id="0">
    <w:p w14:paraId="78B6B9C7" w14:textId="77777777" w:rsidR="00520B22" w:rsidRDefault="00520B22"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BE5D4F" w:rsidRPr="00BE5D4F">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663FC"/>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30B6"/>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D308B"/>
    <w:rsid w:val="008D469A"/>
    <w:rsid w:val="008F77CC"/>
    <w:rsid w:val="0090007E"/>
    <w:rsid w:val="00904E1D"/>
    <w:rsid w:val="009102D6"/>
    <w:rsid w:val="0091312D"/>
    <w:rsid w:val="00925B15"/>
    <w:rsid w:val="00931FD1"/>
    <w:rsid w:val="00951C7C"/>
    <w:rsid w:val="009648CF"/>
    <w:rsid w:val="00965FF1"/>
    <w:rsid w:val="00973521"/>
    <w:rsid w:val="00990850"/>
    <w:rsid w:val="009959AF"/>
    <w:rsid w:val="009A07F6"/>
    <w:rsid w:val="009A17D1"/>
    <w:rsid w:val="009A1F12"/>
    <w:rsid w:val="009D30CB"/>
    <w:rsid w:val="009D392A"/>
    <w:rsid w:val="009D50C6"/>
    <w:rsid w:val="009F0A86"/>
    <w:rsid w:val="00A06DA6"/>
    <w:rsid w:val="00A13FAE"/>
    <w:rsid w:val="00A228AA"/>
    <w:rsid w:val="00A25B0A"/>
    <w:rsid w:val="00A364BE"/>
    <w:rsid w:val="00A364F9"/>
    <w:rsid w:val="00A462C7"/>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377BE"/>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B31AF"/>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3E8BD-A45B-4ADD-8A57-67CA048BA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35</Pages>
  <Words>5852</Words>
  <Characters>33363</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146</cp:revision>
  <dcterms:created xsi:type="dcterms:W3CDTF">2017-12-02T12:32:00Z</dcterms:created>
  <dcterms:modified xsi:type="dcterms:W3CDTF">2017-12-15T05:28:00Z</dcterms:modified>
</cp:coreProperties>
</file>